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秦腔音乐律制及其在现代戏中的演变研究  96级硕士学位论文</w:t>
      </w:r>
    </w:p>
    <w:p>
      <w:r>
        <w:rPr>
          <w:rFonts w:ascii="宋体" w:hAnsi="宋体" w:eastAsia="宋体"/>
          <w:sz w:val="24"/>
        </w:rPr>
        <w:t>朱汉城著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秦腔音乐律制及其在现代戏中的演变研究  96级硕士学位论文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中央音乐学院作曲系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本书出售、求购地址：https://www.jiaokey.com/book/detail/13891370.html</w:t>
      </w:r>
    </w:p>
    <w:p>
      <w:r>
        <w:t>更多相关图书推荐：https://www.jiaokey.com</w:t>
      </w:r>
    </w:p>
    <w:p>
      <w:r>
        <w:t>朱汉城著 其他作品：https://www.jiaokey.com/tag/朱汉城著.html</w:t>
      </w:r>
    </w:p>
    <w:p>
      <w:r>
        <w:t>中央音乐学院作曲系 出版图书：https://www.jiaokey.com/tag/中央音乐学院作曲系.html</w:t>
      </w:r>
    </w:p>
    <w:p>
      <w:r>
        <w:t>关键词搜索：https://www.jiaokey.com/tag/秦腔音乐律制及其在现代戏中的演变研究  96级硕士学位论文.html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