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晋冀鲁豫边区政府通令</w:t>
      </w:r>
    </w:p>
    <w:p>
      <w:r>
        <w:rPr>
          <w:rFonts w:ascii="宋体" w:hAnsi="宋体" w:eastAsia="宋体"/>
          <w:sz w:val="24"/>
        </w:rPr>
        <w:t>杨秀峰主席；薄一波，戎武胜副主席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晋冀鲁豫边区政府通令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杨秀峰主席；薄一波，戎武胜副主席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本书出售、求购地址：https://www.jiaokey.com/book/detail/13890170.html</w:t>
      </w:r>
    </w:p>
    <w:p>
      <w:r>
        <w:t>更多相关图书推荐：https://www.jiaokey.com</w:t>
      </w:r>
    </w:p>
    <w:p>
      <w:r>
        <w:t>杨秀峰主席；薄一波，戎武胜副主席 其他作品：https://www.jiaokey.com/tag/杨秀峰主席；薄一波，戎武胜副主席.html</w:t>
      </w:r>
    </w:p>
    <w:p>
      <w:r>
        <w:t>关键词搜索：https://www.jiaokey.com/tag/晋冀鲁豫边区政府通令.html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