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风景园林设计要素</w:t>
      </w:r>
    </w:p>
    <w:p>
      <w:r>
        <w:rPr>
          <w:rFonts w:ascii="宋体" w:hAnsi="宋体" w:eastAsia="宋体"/>
          <w:sz w:val="24"/>
        </w:rPr>
        <w:t>（美）诺曼·K.布思著；曹礼昆，曹德鲲译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（美）诺曼·K.布思著；曹礼昆，曹德鲲译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本书出售、求购地址：https://www.jiaokey.com/book/detail/13889913.html</w:t>
      </w:r>
    </w:p>
    <w:p>
      <w:r>
        <w:t>更多相关图书推荐：https://www.jiaokey.com</w:t>
      </w:r>
    </w:p>
    <w:p>
      <w:r>
        <w:t>（美）诺曼·K.布思著；曹礼昆，曹德鲲译 其他作品：https://www.jiaokey.com/tag/（美）诺曼·K.布思著；曹礼昆，曹德鲲译.html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关键词搜索：https://www.jiaokey.com/tag/风景园林设计要素.html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