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参加全国民族音乐学第四届年会论文  湘剧高腔曲牌的构成</w:t>
      </w:r>
    </w:p>
    <w:p>
      <w:r>
        <w:rPr>
          <w:rFonts w:ascii="宋体" w:hAnsi="宋体" w:eastAsia="宋体"/>
          <w:sz w:val="24"/>
        </w:rPr>
        <w:t>杨予野著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参加全国民族音乐学第四届年会论文  湘剧高腔曲牌的构成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杨予野著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星海音乐学院音乐研究室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本书出售、求购地址：https://www.jiaokey.com/book/detail/13889158.html</w:t>
      </w:r>
    </w:p>
    <w:p>
      <w:r>
        <w:t>更多相关图书推荐：https://www.jiaokey.com</w:t>
      </w:r>
    </w:p>
    <w:p>
      <w:r>
        <w:t>杨予野著 其他作品：https://www.jiaokey.com/tag/杨予野著.html</w:t>
      </w:r>
    </w:p>
    <w:p>
      <w:r>
        <w:t>星海音乐学院音乐研究室 出版图书：https://www.jiaokey.com/tag/星海音乐学院音乐研究室.html</w:t>
      </w:r>
    </w:p>
    <w:p>
      <w:r>
        <w:t>关键词搜索：https://www.jiaokey.com/tag/参加全国民族音乐学第四届年会论文  湘剧高腔曲牌的构成.html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