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数控编程工作任务  基于德国标准</w:t>
      </w:r>
    </w:p>
    <w:p>
      <w:r>
        <w:rPr>
          <w:rFonts w:ascii="宋体" w:hAnsi="宋体" w:eastAsia="宋体"/>
          <w:sz w:val="24"/>
        </w:rPr>
        <w:t>战祥乐，赵战峰，（德）克劳斯·雷克曼，冯安平编著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数控编程工作任务  基于德国标准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战祥乐，赵战峰，（德）克劳斯·雷克曼，冯安平编著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本书出售、求购地址：https://www.jiaokey.com/book/detail/13887718.html</w:t>
      </w:r>
    </w:p>
    <w:p>
      <w:r>
        <w:t>更多相关图书推荐：https://www.jiaokey.com</w:t>
      </w:r>
    </w:p>
    <w:p>
      <w:r>
        <w:t>战祥乐，赵战峰，（德）克劳斯·雷克曼，冯安平编著 其他作品：https://www.jiaokey.com/tag/战祥乐，赵战峰，（德）克劳斯·雷克曼，冯安平编著.html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关键词搜索：https://www.jiaokey.com/tag/数控编程工作任务  基于德国标准.html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