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营建法规</w:t>
      </w:r>
    </w:p>
    <w:p>
      <w:r>
        <w:rPr>
          <w:rFonts w:ascii="宋体" w:hAnsi="宋体" w:eastAsia="宋体"/>
          <w:sz w:val="24"/>
        </w:rPr>
        <w:t>蔡志扬主编；詹添全，陈锦芳，沈宗桦监修；五南法学研究中心编辑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营建法规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蔡志扬主编；詹添全，陈锦芳，沈宗桦监修；五南法学研究中心编辑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本书出售、求购地址：https://www.jiaokey.com/book/detail/13886868.html</w:t>
      </w:r>
    </w:p>
    <w:p>
      <w:r>
        <w:t>更多相关图书推荐：https://www.jiaokey.com</w:t>
      </w:r>
    </w:p>
    <w:p>
      <w:r>
        <w:t>蔡志扬主编；詹添全，陈锦芳，沈宗桦监修；五南法学研究中心编辑 其他作品：https://www.jiaokey.com/tag/蔡志扬主编；詹添全，陈锦芳，沈宗桦监修；五南法学研究中心编辑.html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关键词搜索：https://www.jiaokey.com/tag/营建法规.html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