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司法鉴定机构登记管理办法实施及规范化管理实用手册  4</w:t>
      </w:r>
    </w:p>
    <w:p>
      <w:r>
        <w:rPr>
          <w:rFonts w:ascii="宋体" w:hAnsi="宋体" w:eastAsia="宋体"/>
          <w:sz w:val="24"/>
        </w:rPr>
        <w:t>严利主编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司法鉴定机构登记管理办法实施及规范化管理实用手册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本书出售、求购地址：https://www.jiaokey.com/book/detail/13886316.html</w:t>
      </w:r>
    </w:p>
    <w:p>
      <w:r>
        <w:t>更多相关图书推荐：https://www.jiaokey.com</w:t>
      </w:r>
    </w:p>
    <w:p>
      <w:r>
        <w:t>严利主编 其他作品：https://www.jiaokey.com/tag/严利主编.html</w:t>
      </w:r>
    </w:p>
    <w:p>
      <w:r>
        <w:t>长春：吉林音像出版社 出版图书：https://www.jiaokey.com/tag/长春：吉林音像出版社.html</w:t>
      </w:r>
    </w:p>
    <w:p>
      <w:r>
        <w:t>关键词搜索：https://www.jiaokey.com/tag/司法鉴定机构登记管理办法实施及规范化管理实用手册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