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</w:t>
      </w:r>
    </w:p>
    <w:p>
      <w:r>
        <w:rPr>
          <w:rFonts w:ascii="宋体" w:hAnsi="宋体" w:eastAsia="宋体"/>
          <w:sz w:val="24"/>
        </w:rPr>
        <w:t>梁英，葛文忠，夏远亮主编；张成林，滕占才，孙太凡副主编；王德利主审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梁英，葛文忠，夏远亮主编；张成林，滕占才，孙太凡副主编；王德利主审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本书出售、求购地址：https://www.jiaokey.com/book/detail/13885766.html</w:t>
      </w:r>
    </w:p>
    <w:p>
      <w:r>
        <w:t>更多相关图书推荐：https://www.jiaokey.com</w:t>
      </w:r>
    </w:p>
    <w:p>
      <w:r>
        <w:t>梁英，葛文忠，夏远亮主编；张成林，滕占才，孙太凡副主编；王德利主审 其他作品：https://www.jiaokey.com/tag/梁英，葛文忠，夏远亮主编；张成林，滕占才，孙太凡副主编；王德利主审.html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关键词搜索：https://www.jiaokey.com/tag/普通化学.html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