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</w:t>
      </w:r>
    </w:p>
    <w:p>
      <w:r>
        <w:rPr>
          <w:rFonts w:ascii="宋体" w:hAnsi="宋体" w:eastAsia="宋体"/>
          <w:sz w:val="24"/>
        </w:rPr>
        <w:t>何静春，袁一平主编；梁真真，刘钊泉，屈玮雯，袁贝希副主编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何静春，袁一平主编；梁真真，刘钊泉，屈玮雯，袁贝希副主编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本书出售、求购地址：https://www.jiaokey.com/book/detail/13885316.html</w:t>
      </w:r>
    </w:p>
    <w:p>
      <w:r>
        <w:t>更多相关图书推荐：https://www.jiaokey.com</w:t>
      </w:r>
    </w:p>
    <w:p>
      <w:r>
        <w:t>何静春，袁一平主编；梁真真，刘钊泉，屈玮雯，袁贝希副主编 其他作品：https://www.jiaokey.com/tag/何静春，袁一平主编；梁真真，刘钊泉，屈玮雯，袁贝希副主编.html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