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  风险值（VaR）理论与应用</w:t>
      </w:r>
    </w:p>
    <w:p>
      <w:r>
        <w:rPr>
          <w:rFonts w:ascii="宋体" w:hAnsi="宋体" w:eastAsia="宋体"/>
          <w:sz w:val="24"/>
        </w:rPr>
        <w:t>李进生等著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  风险值（VaR）理论与应用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清蔚科技股份有限公司出版事业部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本书出售、求购地址：https://www.jiaokey.com/book/detail/13885095.html</w:t>
      </w:r>
    </w:p>
    <w:p>
      <w:r>
        <w:t>更多相关图书推荐：https://www.jiaokey.com</w:t>
      </w:r>
    </w:p>
    <w:p>
      <w:r>
        <w:t>李进生等著 其他作品：https://www.jiaokey.com/tag/李进生等著.html</w:t>
      </w:r>
    </w:p>
    <w:p>
      <w:r>
        <w:t>清蔚科技股份有限公司出版事业部 出版图书：https://www.jiaokey.com/tag/清蔚科技股份有限公司出版事业部.html</w:t>
      </w:r>
    </w:p>
    <w:p>
      <w:r>
        <w:t>关键词搜索：https://www.jiaokey.com/tag/风险管理  风险值（VaR）理论与应用.html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