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现代主义与“战后女性诗”的展开</w:t>
      </w:r>
    </w:p>
    <w:p>
      <w:r>
        <w:rPr>
          <w:rFonts w:ascii="宋体" w:hAnsi="宋体" w:eastAsia="宋体"/>
          <w:sz w:val="24"/>
        </w:rPr>
        <w:t>（日）水田宗子著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现代主义与“战后女性诗”的展开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（日）水田宗子著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本书出售、求购地址：https://www.jiaokey.com/book/detail/13884574.html</w:t>
      </w:r>
    </w:p>
    <w:p>
      <w:r>
        <w:t>更多相关图书推荐：https://www.jiaokey.com</w:t>
      </w:r>
    </w:p>
    <w:p>
      <w:r>
        <w:t>（日）水田宗子著 其他作品：https://www.jiaokey.com/tag/（日）水田宗子著.html</w:t>
      </w:r>
    </w:p>
    <w:p>
      <w:r>
        <w:t>关键词搜索：https://www.jiaokey.com/tag/现代主义与“战后女性诗”的展开.html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