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证券法的权力分配=THE ALLOCATION OF SECURITIES REGULATORY AUTHORITIES</w:t>
      </w:r>
    </w:p>
    <w:p>
      <w:r>
        <w:rPr>
          <w:rFonts w:ascii="宋体" w:hAnsi="宋体" w:eastAsia="宋体"/>
          <w:sz w:val="24"/>
        </w:rPr>
        <w:t>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证券法的权力分配=THE ALLOCATION OF SECURITIES REGULATORY AUTHORITIES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本书出售、求购地址：https://www.jiaokey.com/book/detail/13884552.html</w:t>
      </w:r>
    </w:p>
    <w:p>
      <w:r>
        <w:t>更多相关图书推荐：https://www.jiaokey.com</w:t>
      </w:r>
    </w:p>
    <w:p>
      <w:r>
        <w:t>沈朝晖著 其他作品：https://www.jiaokey.com/tag/沈朝晖著.html</w:t>
      </w:r>
    </w:p>
    <w:p>
      <w:r>
        <w:t>关键词搜索：https://www.jiaokey.com/tag/证券法的权力分配=THE ALLOCATION OF SECURITIES REGULATORY AUTHORITIES.html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