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两句结构是民歌曲式发展的重要基础  初稿</w:t>
      </w:r>
    </w:p>
    <w:p>
      <w:r>
        <w:rPr>
          <w:rFonts w:ascii="宋体" w:hAnsi="宋体" w:eastAsia="宋体"/>
          <w:sz w:val="24"/>
        </w:rPr>
        <w:t>耿生廉著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两句结构是民歌曲式发展的重要基础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耿生廉著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本书出售、求购地址：https://www.jiaokey.com/book/detail/13884436.html</w:t>
      </w:r>
    </w:p>
    <w:p>
      <w:r>
        <w:t>更多相关图书推荐：https://www.jiaokey.com</w:t>
      </w:r>
    </w:p>
    <w:p>
      <w:r>
        <w:t>耿生廉著 其他作品：https://www.jiaokey.com/tag/耿生廉著.html</w:t>
      </w:r>
    </w:p>
    <w:p>
      <w:r>
        <w:t>中国音乐学院 出版图书：https://www.jiaokey.com/tag/中国音乐学院.html</w:t>
      </w:r>
    </w:p>
    <w:p>
      <w:r>
        <w:t>关键词搜索：https://www.jiaokey.com/tag/两句结构是民歌曲式发展的重要基础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