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解构中国梦  中国民族主义与中美关系的互动  1999-2014</w:t>
      </w:r>
    </w:p>
    <w:p>
      <w:r>
        <w:rPr>
          <w:rFonts w:ascii="宋体" w:hAnsi="宋体" w:eastAsia="宋体"/>
          <w:sz w:val="24"/>
        </w:rPr>
        <w:t>沈旭晖著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解构中国梦  中国民族主义与中美关系的互动  1999-2014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本书出售、求购地址：https://www.jiaokey.com/book/detail/13883938.html</w:t>
      </w:r>
    </w:p>
    <w:p>
      <w:r>
        <w:t>更多相关图书推荐：https://www.jiaokey.com</w:t>
      </w:r>
    </w:p>
    <w:p>
      <w:r>
        <w:t>沈旭晖著 其他作品：https://www.jiaokey.com/tag/沈旭晖著.html</w:t>
      </w:r>
    </w:p>
    <w:p>
      <w:r>
        <w:t>中文大学出版社 出版图书：https://www.jiaokey.com/tag/中文大学出版社.html</w:t>
      </w:r>
    </w:p>
    <w:p>
      <w:r>
        <w:t>关键词搜索：https://www.jiaokey.com/tag/解构中国梦  中国民族主义与中美关系的互动  1999-2014.html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