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</w:t>
      </w:r>
    </w:p>
    <w:p>
      <w:r>
        <w:rPr>
          <w:rFonts w:ascii="宋体" w:hAnsi="宋体" w:eastAsia="宋体"/>
          <w:sz w:val="24"/>
        </w:rPr>
        <w:t>卢新予总主编；张岩莉主编；杨雪萍副主编；张岩莉，杨雪萍，魏艳红编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卢新予总主编；张岩莉主编；杨雪萍副主编；张岩莉，杨雪萍，魏艳红编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本书出售、求购地址：https://www.jiaokey.com/book/detail/13883100.html</w:t>
      </w:r>
    </w:p>
    <w:p>
      <w:r>
        <w:t>更多相关图书推荐：https://www.jiaokey.com</w:t>
      </w:r>
    </w:p>
    <w:p>
      <w:r>
        <w:t>卢新予总主编；张岩莉主编；杨雪萍副主编；张岩莉，杨雪萍，魏艳红编 其他作品：https://www.jiaokey.com/tag/卢新予总主编；张岩莉主编；杨雪萍副主编；张岩莉，杨雪萍，魏艳红编.html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