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病例书写规范</w:t>
      </w:r>
    </w:p>
    <w:p>
      <w:r>
        <w:rPr>
          <w:rFonts w:ascii="宋体" w:hAnsi="宋体" w:eastAsia="宋体"/>
          <w:sz w:val="24"/>
        </w:rPr>
        <w:t>季国忠，杨莉主编；顾民，韩光曙，倪松石副主编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病例书写规范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季国忠，杨莉主编；顾民，韩光曙，倪松石副主编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本书出售、求购地址：https://www.jiaokey.com/book/detail/13882126.html</w:t>
      </w:r>
    </w:p>
    <w:p>
      <w:r>
        <w:t>更多相关图书推荐：https://www.jiaokey.com</w:t>
      </w:r>
    </w:p>
    <w:p>
      <w:r>
        <w:t>季国忠，杨莉主编；顾民，韩光曙，倪松石副主编 其他作品：https://www.jiaokey.com/tag/季国忠，杨莉主编；顾民，韩光曙，倪松石副主编.html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关键词搜索：https://www.jiaokey.com/tag/病例书写规范.html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