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数字媒体非线性编辑项目教程</w:t>
      </w:r>
    </w:p>
    <w:p>
      <w:r>
        <w:rPr>
          <w:rFonts w:ascii="宋体" w:hAnsi="宋体" w:eastAsia="宋体"/>
          <w:sz w:val="24"/>
        </w:rPr>
        <w:t>岳超，成威主编；李京泽，周晓红，岳勇副主编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数字媒体非线性编辑项目教程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岳超，成威主编；李京泽，周晓红，岳勇副主编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本书出售、求购地址：https://www.jiaokey.com/book/detail/13876982.html</w:t>
      </w:r>
    </w:p>
    <w:p>
      <w:r>
        <w:t>更多相关图书推荐：https://www.jiaokey.com</w:t>
      </w:r>
    </w:p>
    <w:p>
      <w:r>
        <w:t>岳超，成威主编；李京泽，周晓红，岳勇副主编 其他作品：https://www.jiaokey.com/tag/岳超，成威主编；李京泽，周晓红，岳勇副主编.html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关键词搜索：https://www.jiaokey.com/tag/数字媒体非线性编辑项目教程.html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