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信息网络与高新技术法律前沿</w:t>
      </w:r>
    </w:p>
    <w:p>
      <w:r>
        <w:rPr>
          <w:rFonts w:ascii="宋体" w:hAnsi="宋体" w:eastAsia="宋体"/>
          <w:sz w:val="24"/>
        </w:rPr>
        <w:t>车捷，邹毅主编；刘春泉，夏巍，詹朝霞副主编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信息网络与高新技术法律前沿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车捷，邹毅主编；刘春泉，夏巍，詹朝霞副主编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本书出售、求购地址：https://www.jiaokey.com/book/detail/13874717.html</w:t>
      </w:r>
    </w:p>
    <w:p>
      <w:r>
        <w:t>更多相关图书推荐：https://www.jiaokey.com</w:t>
      </w:r>
    </w:p>
    <w:p>
      <w:r>
        <w:t>车捷，邹毅主编；刘春泉，夏巍，詹朝霞副主编 其他作品：https://www.jiaokey.com/tag/车捷，邹毅主编；刘春泉，夏巍，詹朝霞副主编.html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关键词搜索：https://www.jiaokey.com/tag/信息网络与高新技术法律前沿.html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