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构建立美教育模式  1</w:t>
      </w:r>
    </w:p>
    <w:p>
      <w:r>
        <w:rPr>
          <w:rFonts w:ascii="宋体" w:hAnsi="宋体" w:eastAsia="宋体"/>
          <w:sz w:val="24"/>
        </w:rPr>
        <w:t>刘有华，林燕敏主编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构建立美教育模式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刘有华，林燕敏主编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南京市石鼓路小学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本书出售、求购地址：https://www.jiaokey.com/book/detail/13874305.html</w:t>
      </w:r>
    </w:p>
    <w:p>
      <w:r>
        <w:t>更多相关图书推荐：https://www.jiaokey.com</w:t>
      </w:r>
    </w:p>
    <w:p>
      <w:r>
        <w:t>刘有华，林燕敏主编 其他作品：https://www.jiaokey.com/tag/刘有华，林燕敏主编.html</w:t>
      </w:r>
    </w:p>
    <w:p>
      <w:r>
        <w:t>南京市石鼓路小学 出版图书：https://www.jiaokey.com/tag/南京市石鼓路小学.html</w:t>
      </w:r>
    </w:p>
    <w:p>
      <w:r>
        <w:t>关键词搜索：https://www.jiaokey.com/tag/构建立美教育模式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