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品牌决胜  新商标法律师解读与判例评析=Brand makes difference interpretation of trademark law and review of cases</w:t>
      </w:r>
    </w:p>
    <w:p>
      <w:r>
        <w:rPr>
          <w:rFonts w:ascii="宋体" w:hAnsi="宋体" w:eastAsia="宋体"/>
          <w:sz w:val="24"/>
        </w:rPr>
        <w:t>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品牌决胜  新商标法律师解读与判例评析=Brand makes difference interpretation of trademark law and review of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本书出售、求购地址：https://www.jiaokey.com/book/detail/13869952.html</w:t>
      </w:r>
    </w:p>
    <w:p>
      <w:r>
        <w:t>更多相关图书推荐：https://www.jiaokey.com</w:t>
      </w:r>
    </w:p>
    <w:p>
      <w:r>
        <w:t>田龙编著 其他作品：https://www.jiaokey.com/tag/田龙编著.html</w:t>
      </w:r>
    </w:p>
    <w:p>
      <w:r>
        <w:t>关键词搜索：https://www.jiaokey.com/tag/品牌决胜  新商标法律师解读与判例评析=Brand makes difference interpretation of trademark law and review of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