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古方今用</w:t>
      </w:r>
    </w:p>
    <w:p>
      <w:r>
        <w:rPr>
          <w:rFonts w:ascii="宋体" w:hAnsi="宋体" w:eastAsia="宋体"/>
          <w:sz w:val="24"/>
        </w:rPr>
        <w:t>李世文，康满珍主编；李亿，李论，李世文，李品贤，张元，邹清波，康满珍编著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古方今用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李世文，康满珍主编；李亿，李论，李世文，李品贤，张元，邹清波，康满珍编著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本书出售、求购地址：https://www.jiaokey.com/book/detail/13869505.html</w:t>
      </w:r>
    </w:p>
    <w:p>
      <w:r>
        <w:t>更多相关图书推荐：https://www.jiaokey.com</w:t>
      </w:r>
    </w:p>
    <w:p>
      <w:r>
        <w:t>李世文，康满珍主编；李亿，李论，李世文，李品贤，张元，邹清波，康满珍编著 其他作品：https://www.jiaokey.com/tag/李世文，康满珍主编；李亿，李论，李世文，李品贤，张元，邹清波，康满珍编著.html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关键词搜索：https://www.jiaokey.com/tag/古方今用.html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