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语法教学方法技巧</w:t>
      </w:r>
    </w:p>
    <w:p>
      <w:r>
        <w:rPr>
          <w:rFonts w:ascii="宋体" w:hAnsi="宋体" w:eastAsia="宋体"/>
          <w:sz w:val="24"/>
        </w:rPr>
        <w:t>崔希亮，王路江总策划；迟兰英总主编；苏英霞分册主编；朱文文，苏英霞，郭晓麟，吴春仙，王蕾著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语法教学方法技巧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崔希亮，王路江总策划；迟兰英总主编；苏英霞分册主编；朱文文，苏英霞，郭晓麟，吴春仙，王蕾著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本书出售、求购地址：https://www.jiaokey.com/book/detail/13869423.html</w:t>
      </w:r>
    </w:p>
    <w:p>
      <w:r>
        <w:t>更多相关图书推荐：https://www.jiaokey.com</w:t>
      </w:r>
    </w:p>
    <w:p>
      <w:r>
        <w:t>崔希亮，王路江总策划；迟兰英总主编；苏英霞分册主编；朱文文，苏英霞，郭晓麟，吴春仙，王蕾著 其他作品：https://www.jiaokey.com/tag/崔希亮，王路江总策划；迟兰英总主编；苏英霞分册主编；朱文文，苏英霞，郭晓麟，吴春仙，王蕾著.html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关键词搜索：https://www.jiaokey.com/tag/语法教学方法技巧.html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