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郑州大学嵩阳法学文库  政策抑或法律  民事诉讼政策研究</w:t>
      </w:r>
    </w:p>
    <w:p>
      <w:r>
        <w:rPr>
          <w:rFonts w:ascii="宋体" w:hAnsi="宋体" w:eastAsia="宋体"/>
          <w:sz w:val="24"/>
        </w:rPr>
        <w:t>张嘉军，赵杏一，郭海洋，李贺娟，李秀娥著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郑州大学嵩阳法学文库  政策抑或法律  民事诉讼政策研究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张嘉军，赵杏一，郭海洋，李贺娟，李秀娥著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本书出售、求购地址：https://www.jiaokey.com/book/detail/13869224.html</w:t>
      </w:r>
    </w:p>
    <w:p>
      <w:r>
        <w:t>更多相关图书推荐：https://www.jiaokey.com</w:t>
      </w:r>
    </w:p>
    <w:p>
      <w:r>
        <w:t>张嘉军，赵杏一，郭海洋，李贺娟，李秀娥著 其他作品：https://www.jiaokey.com/tag/张嘉军，赵杏一，郭海洋，李贺娟，李秀娥著.html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关键词搜索：https://www.jiaokey.com/tag/郑州大学嵩阳法学文库  政策抑或法律  民事诉讼政策研究.html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