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医患纠纷人民调解技巧与典型案例分析</w:t>
      </w:r>
    </w:p>
    <w:p>
      <w:r>
        <w:rPr>
          <w:rFonts w:ascii="宋体" w:hAnsi="宋体" w:eastAsia="宋体"/>
          <w:sz w:val="24"/>
        </w:rPr>
        <w:t>种衍军主编；朱玉久，李晓波，赵长地，蒋卫东，韦玮，王召平副主编；常洪霞，种峰，种华，种敏，丁继苓，华忠萍等编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医患纠纷人民调解技巧与典型案例分析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种衍军主编；朱玉久，李晓波，赵长地，蒋卫东，韦玮，王召平副主编；常洪霞，种峰，种华，种敏，丁继苓，华忠萍等编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本书出售、求购地址：https://www.jiaokey.com/book/detail/13869030.html</w:t>
      </w:r>
    </w:p>
    <w:p>
      <w:r>
        <w:t>更多相关图书推荐：https://www.jiaokey.com</w:t>
      </w:r>
    </w:p>
    <w:p>
      <w:r>
        <w:t>种衍军主编；朱玉久，李晓波，赵长地，蒋卫东，韦玮，王召平副主编；常洪霞，种峰，种华，种敏，丁继苓，华忠萍等编 其他作品：https://www.jiaokey.com/tag/种衍军主编；朱玉久，李晓波，赵长地，蒋卫东，韦玮，王召平副主编；常洪霞，种峰，种华，种敏，丁继苓，华忠萍等编.html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关键词搜索：https://www.jiaokey.com/tag/医患纠纷人民调解技巧与典型案例分析.html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