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建筑的自然通风  设计指南</w:t>
      </w:r>
    </w:p>
    <w:p>
      <w:r>
        <w:rPr>
          <w:rFonts w:ascii="宋体" w:hAnsi="宋体" w:eastAsia="宋体"/>
          <w:sz w:val="24"/>
        </w:rPr>
        <w:t>（法）弗朗西斯·阿拉德编著；李珺杰，李苑，李紫薇，董磊译；宋晔皓校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建筑的自然通风  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（法）弗朗西斯·阿拉德编著；李珺杰，李苑，李紫薇，董磊译；宋晔皓校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本书出售、求购地址：https://www.jiaokey.com/book/detail/13867548.html</w:t>
      </w:r>
    </w:p>
    <w:p>
      <w:r>
        <w:t>更多相关图书推荐：https://www.jiaokey.com</w:t>
      </w:r>
    </w:p>
    <w:p>
      <w:r>
        <w:t>（法）弗朗西斯·阿拉德编著；李珺杰，李苑，李紫薇，董磊译；宋晔皓校 其他作品：https://www.jiaokey.com/tag/（法）弗朗西斯·阿拉德编著；李珺杰，李苑，李紫薇，董磊译；宋晔皓校.html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关键词搜索：https://www.jiaokey.com/tag/建筑的自然通风  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