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建材非金属矿产资源可持续发展战略研究</w:t>
      </w:r>
    </w:p>
    <w:p>
      <w:r>
        <w:rPr>
          <w:rFonts w:ascii="宋体" w:hAnsi="宋体" w:eastAsia="宋体"/>
          <w:sz w:val="24"/>
        </w:rPr>
        <w:t>《建材非金属矿产资源可持续发展战略》研究课题组主编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建材非金属矿产资源可持续发展战略研究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《建材非金属矿产资源可持续发展战略》研究课题组主编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本书出售、求购地址：https://www.jiaokey.com/book/detail/13867289.html</w:t>
      </w:r>
    </w:p>
    <w:p>
      <w:r>
        <w:t>更多相关图书推荐：https://www.jiaokey.com</w:t>
      </w:r>
    </w:p>
    <w:p>
      <w:r>
        <w:t>《建材非金属矿产资源可持续发展战略》研究课题组主编 其他作品：https://www.jiaokey.com/tag/《建材非金属矿产资源可持续发展战略》研究课题组主编.html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关键词搜索：https://www.jiaokey.com/tag/建材非金属矿产资源可持续发展战略研究.html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