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城镇规划计算机辅助设计  城镇规划专业适用</w:t>
      </w:r>
    </w:p>
    <w:p>
      <w:r>
        <w:rPr>
          <w:rFonts w:ascii="宋体" w:hAnsi="宋体" w:eastAsia="宋体"/>
          <w:sz w:val="24"/>
        </w:rPr>
        <w:t>本教材编审委员会组织编写；解万玉主编；张荣辰，吕玉婷副主编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城镇规划计算机辅助设计  城镇规划专业适用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本教材编审委员会组织编写；解万玉主编；张荣辰，吕玉婷副主编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本书出售、求购地址：https://www.jiaokey.com/book/detail/13865642.html</w:t>
      </w:r>
    </w:p>
    <w:p>
      <w:r>
        <w:t>更多相关图书推荐：https://www.jiaokey.com</w:t>
      </w:r>
    </w:p>
    <w:p>
      <w:r>
        <w:t>本教材编审委员会组织编写；解万玉主编；张荣辰，吕玉婷副主编 其他作品：https://www.jiaokey.com/tag/本教材编审委员会组织编写；解万玉主编；张荣辰，吕玉婷副主编.html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关键词搜索：https://www.jiaokey.com/tag/城镇规划计算机辅助设计  城镇规划专业适用.html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