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常廷彬主编；黄旭东，蓝艳霞，杨剑副主编；常廷彬，范智欣，蓝燕霞，徐进静，张英，黄旭东，王春，苏文卿，李乐玲，赵蕾，宋贻珍编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常廷彬主编；黄旭东，蓝艳霞，杨剑副主编；常廷彬，范智欣，蓝燕霞，徐进静，张英，黄旭东，王春，苏文卿，李乐玲，赵蕾，宋贻珍编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本书出售、求购地址：https://www.jiaokey.com/book/detail/13863930.html</w:t>
      </w:r>
    </w:p>
    <w:p>
      <w:r>
        <w:t>更多相关图书推荐：https://www.jiaokey.com</w:t>
      </w:r>
    </w:p>
    <w:p>
      <w:r>
        <w:t>常廷彬主编；黄旭东，蓝艳霞，杨剑副主编；常廷彬，范智欣，蓝燕霞，徐进静，张英，黄旭东，王春，苏文卿，李乐玲，赵蕾，宋贻珍编 其他作品：https://www.jiaokey.com/tag/常廷彬主编；黄旭东，蓝艳霞，杨剑副主编；常廷彬，范智欣，蓝燕霞，徐进静，张英，黄旭东，王春，苏文卿，李乐玲，赵蕾，宋贻珍编.html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