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孤独症儿童关键反应教学法</w:t>
      </w:r>
    </w:p>
    <w:p>
      <w:r>
        <w:rPr>
          <w:rFonts w:ascii="宋体" w:hAnsi="宋体" w:eastAsia="宋体"/>
          <w:sz w:val="24"/>
        </w:rPr>
        <w:t>（美）奥温·C.斯塔曼（AUBYNC.STAHMER），杰茜卡·苏海因里希（JESSICASUHRHEINRICH），莎拉·施；赖布曼（SARAHREED）等著；胡晓毅译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孤独症儿童关键反应教学法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（美）奥温·C.斯塔曼（AUBYNC.STAHMER），杰茜卡·苏海因里希（JESSICASUHRHEINRICH），莎拉·施；赖布曼（SARAHREED）等著；胡晓毅译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本书出售、求购地址：https://www.jiaokey.com/book/detail/13859744.html</w:t>
      </w:r>
    </w:p>
    <w:p>
      <w:r>
        <w:t>更多相关图书推荐：https://www.jiaokey.com</w:t>
      </w:r>
    </w:p>
    <w:p>
      <w:r>
        <w:t>（美）奥温·C.斯塔曼（AUBYNC.STAHMER），杰茜卡·苏海因里希（JESSICASUHRHEINRICH），莎拉·施；赖布曼（SARAHREED）等著；胡晓毅译 其他作品：https://www.jiaokey.com/tag/（美）奥温·C.斯塔曼（AUBYNC.STAHMER），杰茜卡·苏海因里希（JESSICASUHRHEINRICH），莎拉·施；赖布曼（SARAHREED）等著；胡晓毅译.html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关键词搜索：https://www.jiaokey.com/tag/孤独症儿童关键反应教学法.html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