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放射防护控制措施的范围</w:t>
      </w:r>
    </w:p>
    <w:p>
      <w:r>
        <w:rPr>
          <w:rFonts w:ascii="宋体" w:hAnsi="宋体" w:eastAsia="宋体"/>
          <w:sz w:val="24"/>
        </w:rPr>
        <w:t>刘森林，郝建中，夏益华译；潘自强审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放射防护控制措施的范围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刘森林，郝建中，夏益华译；潘自强审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本书出售、求购地址：https://www.jiaokey.com/book/detail/13859114.html</w:t>
      </w:r>
    </w:p>
    <w:p>
      <w:r>
        <w:t>更多相关图书推荐：https://www.jiaokey.com</w:t>
      </w:r>
    </w:p>
    <w:p>
      <w:r>
        <w:t>刘森林，郝建中，夏益华译；潘自强审 其他作品：https://www.jiaokey.com/tag/刘森林，郝建中，夏益华译；潘自强审.html</w:t>
      </w:r>
    </w:p>
    <w:p>
      <w:r>
        <w:t>中国原子能出版社 出版图书：https://www.jiaokey.com/tag/中国原子能出版社.html</w:t>
      </w:r>
    </w:p>
    <w:p>
      <w:r>
        <w:t>关键词搜索：https://www.jiaokey.com/tag/放射防护控制措施的范围.html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