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行政法案例教程</w:t>
      </w:r>
    </w:p>
    <w:p>
      <w:r>
        <w:rPr>
          <w:rFonts w:ascii="宋体" w:hAnsi="宋体" w:eastAsia="宋体"/>
          <w:sz w:val="24"/>
        </w:rPr>
        <w:t>孟庆瑜总主编；何秉群，朱良酷，时清霜副总主编；尚海龙，周觅主编；申静，史艳丽副主编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孟庆瑜总主编；何秉群，朱良酷，时清霜副总主编；尚海龙，周觅主编；申静，史艳丽副主编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本书出售、求购地址：https://www.jiaokey.com/book/detail/13858990.html</w:t>
      </w:r>
    </w:p>
    <w:p>
      <w:r>
        <w:t>更多相关图书推荐：https://www.jiaokey.com</w:t>
      </w:r>
    </w:p>
    <w:p>
      <w:r>
        <w:t>孟庆瑜总主编；何秉群，朱良酷，时清霜副总主编；尚海龙，周觅主编；申静，史艳丽副主编 其他作品：https://www.jiaokey.com/tag/孟庆瑜总主编；何秉群，朱良酷，时清霜副总主编；尚海龙，周觅主编；申静，史艳丽副主编.html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