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从流代数到量子色动力学  结构实在论的一个案例</w:t>
      </w:r>
    </w:p>
    <w:p>
      <w:r>
        <w:rPr>
          <w:rFonts w:ascii="宋体" w:hAnsi="宋体" w:eastAsia="宋体"/>
          <w:sz w:val="24"/>
        </w:rPr>
        <w:t>（美）曹天予著；李宏芳译；范岱年，吴忠超校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从流代数到量子色动力学  结构实在论的一个案例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（美）曹天予著；李宏芳译；范岱年，吴忠超校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本书出售、求购地址：https://www.jiaokey.com/book/detail/13858713.html</w:t>
      </w:r>
    </w:p>
    <w:p>
      <w:r>
        <w:t>更多相关图书推荐：https://www.jiaokey.com</w:t>
      </w:r>
    </w:p>
    <w:p>
      <w:r>
        <w:t>（美）曹天予著；李宏芳译；范岱年，吴忠超校 其他作品：https://www.jiaokey.com/tag/（美）曹天予著；李宏芳译；范岱年，吴忠超校.html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关键词搜索：https://www.jiaokey.com/tag/从流代数到量子色动力学  结构实在论的一个案例.html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