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社会主义市场经济与经济法-兼论贵州地方经济立法</w:t>
      </w:r>
    </w:p>
    <w:p>
      <w:r>
        <w:rPr>
          <w:rFonts w:ascii="宋体" w:hAnsi="宋体" w:eastAsia="宋体"/>
          <w:sz w:val="24"/>
        </w:rPr>
        <w:t>刘大志课题负责人；谭晓玲，季林，蔡兵，王占霞成员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社会主义市场经济与经济法-兼论贵州地方经济立法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刘大志课题负责人；谭晓玲，季林，蔡兵，王占霞成员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本书出售、求购地址：https://www.jiaokey.com/book/detail/13857584.html</w:t>
      </w:r>
    </w:p>
    <w:p>
      <w:r>
        <w:t>更多相关图书推荐：https://www.jiaokey.com</w:t>
      </w:r>
    </w:p>
    <w:p>
      <w:r>
        <w:t>刘大志课题负责人；谭晓玲，季林，蔡兵，王占霞成员 其他作品：https://www.jiaokey.com/tag/刘大志课题负责人；谭晓玲，季林，蔡兵，王占霞成员.html</w:t>
      </w:r>
    </w:p>
    <w:p>
      <w:r>
        <w:t>关键词搜索：https://www.jiaokey.com/tag/社会主义市场经济与经济法-兼论贵州地方经济立法.html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