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以邓小平文艺理论指导新时期贵州文学发展</w:t>
      </w:r>
    </w:p>
    <w:p>
      <w:r>
        <w:rPr>
          <w:rFonts w:ascii="宋体" w:hAnsi="宋体" w:eastAsia="宋体"/>
          <w:sz w:val="24"/>
        </w:rPr>
        <w:t>何光渝，艾筑生著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以邓小平文艺理论指导新时期贵州文学发展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何光渝，艾筑生著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本书出售、求购地址：https://www.jiaokey.com/book/detail/13857582.html</w:t>
      </w:r>
    </w:p>
    <w:p>
      <w:r>
        <w:t>更多相关图书推荐：https://www.jiaokey.com</w:t>
      </w:r>
    </w:p>
    <w:p>
      <w:r>
        <w:t>何光渝，艾筑生著 其他作品：https://www.jiaokey.com/tag/何光渝，艾筑生著.html</w:t>
      </w:r>
    </w:p>
    <w:p>
      <w:r>
        <w:t>关键词搜索：https://www.jiaokey.com/tag/以邓小平文艺理论指导新时期贵州文学发展.html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