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经营城市的突破-“资本置换”理论在都匀市经济建设中的作用</w:t>
      </w:r>
    </w:p>
    <w:p>
      <w:r>
        <w:rPr>
          <w:rFonts w:ascii="宋体" w:hAnsi="宋体" w:eastAsia="宋体"/>
          <w:sz w:val="24"/>
        </w:rPr>
        <w:t>周建琨著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经营城市的突破-“资本置换”理论在都匀市经济建设中的作用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《中国经济时报》社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本书出售、求购地址：https://www.jiaokey.com/book/detail/13857345.html</w:t>
      </w:r>
    </w:p>
    <w:p>
      <w:r>
        <w:t>更多相关图书推荐：https://www.jiaokey.com</w:t>
      </w:r>
    </w:p>
    <w:p>
      <w:r>
        <w:t>周建琨著 其他作品：https://www.jiaokey.com/tag/周建琨著.html</w:t>
      </w:r>
    </w:p>
    <w:p>
      <w:r>
        <w:t>《中国经济时报》社 出版图书：https://www.jiaokey.com/tag/《中国经济时报》社.html</w:t>
      </w:r>
    </w:p>
    <w:p>
      <w:r>
        <w:t>关键词搜索：https://www.jiaokey.com/tag/经营城市的突破-“资本置换”理论在都匀市经济建设中的作用.html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