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中国税收季度报告  2014  3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中国税收季度报告  2014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本书出售、求购地址：https://www.jiaokey.com/book/detail/13856451.html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关键词搜索：https://www.jiaokey.com/tag/中国税收季度报告  2014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