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余热锅炉设计与运行</w:t>
      </w:r>
    </w:p>
    <w:p>
      <w:r>
        <w:rPr>
          <w:rFonts w:ascii="宋体" w:hAnsi="宋体" w:eastAsia="宋体"/>
          <w:sz w:val="24"/>
        </w:rPr>
        <w:t>张磊丛书主编；单志栩主编；吴华，史国梁，孙华强，张乃强副主编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余热锅炉设计与运行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张磊丛书主编；单志栩主编；吴华，史国梁，孙华强，张乃强副主编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本书出售、求购地址：https://www.jiaokey.com/book/detail/13856260.html</w:t>
      </w:r>
    </w:p>
    <w:p>
      <w:r>
        <w:t>更多相关图书推荐：https://www.jiaokey.com</w:t>
      </w:r>
    </w:p>
    <w:p>
      <w:r>
        <w:t>张磊丛书主编；单志栩主编；吴华，史国梁，孙华强，张乃强副主编 其他作品：https://www.jiaokey.com/tag/张磊丛书主编；单志栩主编；吴华，史国梁，孙华强，张乃强副主编.html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关键词搜索：https://www.jiaokey.com/tag/余热锅炉设计与运行.html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