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最高人民法院民事审判指导案例解析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最高人民法院民事审判指导案例解析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本书出售、求购地址：https://www.jiaokey.com/book/detail/13854731.html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关键词搜索：https://www.jiaokey.com/tag/最高人民法院民事审判指导案例解析.html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