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西北工业大学研究生高水平课程体系建设丛书  航天飞行动力学</w:t>
      </w:r>
    </w:p>
    <w:p>
      <w:r>
        <w:rPr>
          <w:rFonts w:ascii="宋体" w:hAnsi="宋体" w:eastAsia="宋体"/>
          <w:sz w:val="24"/>
        </w:rPr>
        <w:t>方群，李新国，朱战霞，王志刚，许志，闫晓东主编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西北工业大学研究生高水平课程体系建设丛书  航天飞行动力学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方群，李新国，朱战霞，王志刚，许志，闫晓东主编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本书出售、求购地址：https://www.jiaokey.com/book/detail/13854590.html</w:t>
      </w:r>
    </w:p>
    <w:p>
      <w:r>
        <w:t>更多相关图书推荐：https://www.jiaokey.com</w:t>
      </w:r>
    </w:p>
    <w:p>
      <w:r>
        <w:t>方群，李新国，朱战霞，王志刚，许志，闫晓东主编 其他作品：https://www.jiaokey.com/tag/方群，李新国，朱战霞，王志刚，许志，闫晓东主编.html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关键词搜索：https://www.jiaokey.com/tag/西北工业大学研究生高水平课程体系建设丛书  航天飞行动力学.html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