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澳门与内地新民事诉讼程序比较研究=A comparative study on new civil procedure of MSAR and mainland China</w:t>
      </w:r>
    </w:p>
    <w:p>
      <w:r>
        <w:rPr>
          <w:rFonts w:ascii="宋体" w:hAnsi="宋体" w:eastAsia="宋体"/>
          <w:sz w:val="24"/>
        </w:rPr>
        <w:t>赖建国著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澳门与内地新民事诉讼程序比较研究=A comparative study on new civil procedure of MSAR and mainland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本书出售、求购地址：https://www.jiaokey.com/book/detail/13852055.html</w:t>
      </w:r>
    </w:p>
    <w:p>
      <w:r>
        <w:t>更多相关图书推荐：https://www.jiaokey.com</w:t>
      </w:r>
    </w:p>
    <w:p>
      <w:r>
        <w:t>赖建国著 其他作品：https://www.jiaokey.com/tag/赖建国著.html</w:t>
      </w:r>
    </w:p>
    <w:p>
      <w:r>
        <w:t>关键词搜索：https://www.jiaokey.com/tag/澳门与内地新民事诉讼程序比较研究=A comparative study on new civil procedure of MSAR and mainland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