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积极指导儿童的101条原则  塑造回应型教师</w:t>
      </w:r>
    </w:p>
    <w:p>
      <w:r>
        <w:rPr>
          <w:rFonts w:ascii="宋体" w:hAnsi="宋体" w:eastAsia="宋体"/>
          <w:sz w:val="24"/>
        </w:rPr>
        <w:t>（美）凯瑟琳C.柯西，（美）玛丽L.马斯特森著；黄爽，高宏钰，周彬等译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积极指导儿童的101条原则  塑造回应型教师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（美）凯瑟琳C.柯西，（美）玛丽L.马斯特森著；黄爽，高宏钰，周彬等译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本书出售、求购地址：https://www.jiaokey.com/book/detail/13851400.html</w:t>
      </w:r>
    </w:p>
    <w:p>
      <w:r>
        <w:t>更多相关图书推荐：https://www.jiaokey.com</w:t>
      </w:r>
    </w:p>
    <w:p>
      <w:r>
        <w:t>（美）凯瑟琳C.柯西，（美）玛丽L.马斯特森著；黄爽，高宏钰，周彬等译 其他作品：https://www.jiaokey.com/tag/（美）凯瑟琳C.柯西，（美）玛丽L.马斯特森著；黄爽，高宏钰，周彬等译.html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关键词搜索：https://www.jiaokey.com/tag/积极指导儿童的101条原则  塑造回应型教师.html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