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压力管理教学  儿童和青少年适用活动</w:t>
      </w:r>
    </w:p>
    <w:p>
      <w:r>
        <w:rPr>
          <w:rFonts w:ascii="宋体" w:hAnsi="宋体" w:eastAsia="宋体"/>
          <w:sz w:val="24"/>
        </w:rPr>
        <w:t>纳妮特·塔摩斯著；解志强译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压力管理教学  儿童和青少年适用活动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纳妮特·塔摩斯著；解志强译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本书出售、求购地址：https://www.jiaokey.com/book/detail/13849861.html</w:t>
      </w:r>
    </w:p>
    <w:p>
      <w:r>
        <w:t>更多相关图书推荐：https://www.jiaokey.com</w:t>
      </w:r>
    </w:p>
    <w:p>
      <w:r>
        <w:t>纳妮特·塔摩斯著；解志强译 其他作品：https://www.jiaokey.com/tag/纳妮特·塔摩斯著；解志强译.html</w:t>
      </w:r>
    </w:p>
    <w:p>
      <w:r>
        <w:t>文景书局有限公司 出版图书：https://www.jiaokey.com/tag/文景书局有限公司.html</w:t>
      </w:r>
    </w:p>
    <w:p>
      <w:r>
        <w:t>关键词搜索：https://www.jiaokey.com/tag/压力管理教学  儿童和青少年适用活动.html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