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</w:t>
      </w:r>
    </w:p>
    <w:p>
      <w:r>
        <w:rPr>
          <w:rFonts w:ascii="宋体" w:hAnsi="宋体" w:eastAsia="宋体"/>
          <w:sz w:val="24"/>
        </w:rPr>
        <w:t>喻璟主编；彭婷婷，段祥宇，吴琴蕾副主编；孙健，李智，吴琴蕾等编委；刘祥生主审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喻璟主编；彭婷婷，段祥宇，吴琴蕾副主编；孙健，李智，吴琴蕾等编委；刘祥生主审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本书出售、求购地址：https://www.jiaokey.com/book/detail/13848225.html</w:t>
      </w:r>
    </w:p>
    <w:p>
      <w:r>
        <w:t>更多相关图书推荐：https://www.jiaokey.com</w:t>
      </w:r>
    </w:p>
    <w:p>
      <w:r>
        <w:t>喻璟主编；彭婷婷，段祥宇，吴琴蕾副主编；孙健，李智，吴琴蕾等编委；刘祥生主审 其他作品：https://www.jiaokey.com/tag/喻璟主编；彭婷婷，段祥宇，吴琴蕾副主编；孙健，李智，吴琴蕾等编委；刘祥生主审.html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