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2010创意经济报告</w:t>
      </w:r>
    </w:p>
    <w:p>
      <w:r>
        <w:rPr>
          <w:rFonts w:ascii="宋体" w:hAnsi="宋体" w:eastAsia="宋体"/>
          <w:sz w:val="24"/>
        </w:rPr>
        <w:t>联合国贸易与发展会议著；林炎旦主编；林义斌，林永能校译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2010创意经济报告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联合国贸易与发展会议著；林炎旦主编；林义斌，林永能校译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本书出售、求购地址：https://www.jiaokey.com/book/detail/13847673.html</w:t>
      </w:r>
    </w:p>
    <w:p>
      <w:r>
        <w:t>更多相关图书推荐：https://www.jiaokey.com</w:t>
      </w:r>
    </w:p>
    <w:p>
      <w:r>
        <w:t>联合国贸易与发展会议著；林炎旦主编；林义斌，林永能校译 其他作品：https://www.jiaokey.com/tag/联合国贸易与发展会议著；林炎旦主编；林义斌，林永能校译.html</w:t>
      </w:r>
    </w:p>
    <w:p>
      <w:r>
        <w:t>师大书宛有限公司 出版图书：https://www.jiaokey.com/tag/师大书宛有限公司.html</w:t>
      </w:r>
    </w:p>
    <w:p>
      <w:r>
        <w:t>关键词搜索：https://www.jiaokey.com/tag/2010创意经济报告.html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