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抢占熟龄市场  最有购买力的新兴族群引爆10大商机</w:t>
      </w:r>
    </w:p>
    <w:p>
      <w:r>
        <w:rPr>
          <w:rFonts w:ascii="宋体" w:hAnsi="宋体" w:eastAsia="宋体"/>
          <w:sz w:val="24"/>
        </w:rPr>
        <w:t>博报堂生活综合研究所，博报堂熟龄事业推进室编著；林冠汾译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抢占熟龄市场  最有购买力的新兴族群引爆10大商机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博报堂生活综合研究所，博报堂熟龄事业推进室编著；林冠汾译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本书出售、求购地址：https://www.jiaokey.com/book/detail/13845667.html</w:t>
      </w:r>
    </w:p>
    <w:p>
      <w:r>
        <w:t>更多相关图书推荐：https://www.jiaokey.com</w:t>
      </w:r>
    </w:p>
    <w:p>
      <w:r>
        <w:t>博报堂生活综合研究所，博报堂熟龄事业推进室编著；林冠汾译 其他作品：https://www.jiaokey.com/tag/博报堂生活综合研究所，博报堂熟龄事业推进室编著；林冠汾译.html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关键词搜索：https://www.jiaokey.com/tag/抢占熟龄市场  最有购买力的新兴族群引爆10大商机.html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