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书名：构建促进中部地区崛起利益平衡机制的思路与对策</w:t>
      </w:r>
    </w:p>
    <w:p>
      <w:r>
        <w:t>作者：范恒山主编；刘苏社，张银桥，张建清，朱翔副主编</w:t>
      </w:r>
    </w:p>
    <w:p>
      <w:r>
        <w:t>出版社：武汉：武汉大学出版社</w:t>
      </w:r>
    </w:p>
    <w:p>
      <w:r>
        <w:t>出版日期：2014.10</w:t>
      </w:r>
    </w:p>
    <w:p>
      <w:r>
        <w:t>总页数：370</w:t>
      </w:r>
    </w:p>
    <w:p>
      <w:r>
        <w:t>更多请访问教客网: www.jiaokey.com</w:t>
      </w:r>
    </w:p>
    <w:p>
      <w:r>
        <w:t>构建促进中部地区崛起利益平衡机制的思路与对策 评论地址：https://www.jiaokey.com/book/detail/13843303.html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