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苏图克·布格拉汗</w:t>
      </w:r>
    </w:p>
    <w:p>
      <w:r>
        <w:rPr>
          <w:rFonts w:ascii="宋体" w:hAnsi="宋体" w:eastAsia="宋体"/>
          <w:sz w:val="24"/>
        </w:rPr>
        <w:t>赛福鼎·艾则孜著；姑丽娜尔·吾甫力译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2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苏图克·布格拉汗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赛福鼎·艾则孜著；姑丽娜尔·吾甫力译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本书出售、求购地址：https://www.jiaokey.com/book/detail/13842449.html</w:t>
      </w:r>
    </w:p>
    <w:p>
      <w:r>
        <w:t>更多相关图书推荐：https://www.jiaokey.com</w:t>
      </w:r>
    </w:p>
    <w:p>
      <w:r>
        <w:t>赛福鼎·艾则孜著；姑丽娜尔·吾甫力译 其他作品：https://www.jiaokey.com/tag/赛福鼎·艾则孜著；姑丽娜尔·吾甫力译.html</w:t>
      </w:r>
    </w:p>
    <w:p>
      <w:r>
        <w:t>北京:民族出版社,2015.03 出版图书：https://www.jiaokey.com/tag/北京:民族出版社,2015.03.html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