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  我们为什么能动起来？</w:t>
      </w:r>
    </w:p>
    <w:p>
      <w:r>
        <w:rPr>
          <w:rFonts w:ascii="宋体" w:hAnsi="宋体" w:eastAsia="宋体"/>
          <w:sz w:val="24"/>
        </w:rPr>
        <w:t>（韩）金东光文本；（韩）李亨镇插画；刘茜，高飞翻译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  我们为什么能动起来？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（韩）金东光文本；（韩）李亨镇插画；刘茜，高飞翻译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本书出售、求购地址：https://www.jiaokey.com/book/detail/13841427.html</w:t>
      </w:r>
    </w:p>
    <w:p>
      <w:r>
        <w:t>更多相关图书推荐：https://www.jiaokey.com</w:t>
      </w:r>
    </w:p>
    <w:p>
      <w:r>
        <w:t>（韩）金东光文本；（韩）李亨镇插画；刘茜，高飞翻译 其他作品：https://www.jiaokey.com/tag/（韩）金东光文本；（韩）李亨镇插画；刘茜，高飞翻译.html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关键词搜索：https://www.jiaokey.com/tag/儿童科学  我们为什么能动起来？.html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