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CS6网页设计案例教程</w:t>
      </w:r>
    </w:p>
    <w:p>
      <w:r>
        <w:rPr>
          <w:rFonts w:ascii="宋体" w:hAnsi="宋体" w:eastAsia="宋体"/>
          <w:sz w:val="24"/>
        </w:rPr>
        <w:t>王春红，王瑾瑜主编；郭喜聪，冉明，色登丹巴副主编；包海山主审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CS6网页设计案例教程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王春红，王瑾瑜主编；郭喜聪，冉明，色登丹巴副主编；包海山主审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本书出售、求购地址：https://www.jiaokey.com/book/detail/13841029.html</w:t>
      </w:r>
    </w:p>
    <w:p>
      <w:r>
        <w:t>更多相关图书推荐：https://www.jiaokey.com</w:t>
      </w:r>
    </w:p>
    <w:p>
      <w:r>
        <w:t>王春红，王瑾瑜主编；郭喜聪，冉明，色登丹巴副主编；包海山主审 其他作品：https://www.jiaokey.com/tag/王春红，王瑾瑜主编；郭喜聪，冉明，色登丹巴副主编；包海山主审.html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CS6网页设计案例教程.html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