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游戏艺术设计原理</w:t>
      </w:r>
    </w:p>
    <w:p>
      <w:r>
        <w:rPr>
          <w:rFonts w:ascii="宋体" w:hAnsi="宋体" w:eastAsia="宋体"/>
          <w:sz w:val="24"/>
        </w:rPr>
        <w:t>方兴，郑达主编；刘兰，何宇，付丹，龚琪芳副主编；尹继鸣总主编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游戏艺术设计原理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方兴，郑达主编；刘兰，何宇，付丹，龚琪芳副主编；尹继鸣总主编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本书出售、求购地址：https://www.jiaokey.com/book/detail/13839597.html</w:t>
      </w:r>
    </w:p>
    <w:p>
      <w:r>
        <w:t>更多相关图书推荐：https://www.jiaokey.com</w:t>
      </w:r>
    </w:p>
    <w:p>
      <w:r>
        <w:t>方兴，郑达主编；刘兰，何宇，付丹，龚琪芳副主编；尹继鸣总主编 其他作品：https://www.jiaokey.com/tag/方兴，郑达主编；刘兰，何宇，付丹，龚琪芳副主编；尹继鸣总主编.html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关键词搜索：https://www.jiaokey.com/tag/游戏艺术设计原理.html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